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Kuehne+Nagel América del Sur y Central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Kuehne+Nagel anunció su nueva estrategia de negocio de cara a los próximos cuatro años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1"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 global logístico comunicó sus resultados financieros y su nueva estrategia global en el Día del Mercado de Capitales en Londres.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1"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Expansión en nuevos mercados y la “experiencia” como componentes centrales de crecimiento.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de Marzo de 2023 – Kuehne+Nagel, una de las compañías líderes a nivel mundial en transporte marítimo y aéreo, presentó sus resultados financieros 2022 además de comunicar su plan estratégico “Roadmap 2026” para los próximos cuatro años. Convertirse en el socio más confiable de la cadena de suministro, contribuyendo a un futuro sostenible, es su Visión definida al 2030.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 sus resultados, la compañía cerró 2022 con números excepcionalmente sólidos. El volumen de negocios neto del Grupo aumentó un 20%, hasta una facturación de 39.400 millones de CHF, el EBIT, por sus siglas en inglés “</w:t>
      </w:r>
      <w:r w:rsidDel="00000000" w:rsidR="00000000" w:rsidRPr="00000000">
        <w:rPr>
          <w:rFonts w:ascii="Arial" w:cs="Arial" w:eastAsia="Arial" w:hAnsi="Arial"/>
          <w:rtl w:val="0"/>
        </w:rPr>
        <w:t xml:space="preserve">Earnings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before interest and taxes” creció un 28%, hasta 3.800 millones de CHF y el beneficio neto incrementó un 30%, hasta 2.800 millones de CHF.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tasa de conversión, que describe la relación entre el EBIT y el margen bruto del Grupo, fue del 33,9%. Debido a la ralentización económica general, el resultado del cuarto trimestre de 2022 fue más débil que el del resto del año. Dentro de América Latina y Caribe, la compañía mantuvo su posición de liderazgo aumentando su participación en el mercado marítimo y aéreo, además de consolidar sus servicios logísticos para segmentos como el e-commerce y cuidado de la salud.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cuanto a su nueva estrategia, de acuerdo a Ingo Goldhammer, Presidente de la compañía para América del Sur y Central: “Tiene como objetivo seguir creciendo y de manera sostenible, además de expandirnos en aquellos mercados donde veamos que hay oportunidades de crecimiento. Pondremos especial foco en brindar la mejor experiencia de servicio, factor clave para alcanzar el éxito que nos proponemos” comentó.</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Roadmap 2026 está basado en cuatro pilares que se apoyan y conectan mutuamente. El principal de ellos es “Experiencia Kuehne+Nagel”, seguido por “Living ESG” que apunta a todas las acciones concretas en </w:t>
      </w:r>
      <w:r w:rsidDel="00000000" w:rsidR="00000000" w:rsidRPr="00000000">
        <w:rPr>
          <w:rFonts w:ascii="Arial" w:cs="Arial" w:eastAsia="Arial" w:hAnsi="Arial"/>
          <w:rtl w:val="0"/>
        </w:rPr>
        <w:t xml:space="preserve">materia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rtl w:val="0"/>
        </w:rPr>
        <w:t xml:space="preserve">sostenibilidad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Ecosistema Digital y Potencial de mercado. A nivel global, el Grupo Kuehne+Nagel aspira a alcanzar una tasa de conversión del 25% al 30% el 2026.</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detalles de la nueva estrategia de la compañía pueden revisarla en el siguiente sitio web: https://roadmap2026.kuehne-nagel.com.</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Sobre Kuehne+Nagel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más de 80.000 empleados y más de 1.300 centros en más de 100 países, el Grupo Kuehne+Nagel es uno de los principales proveedores de logística del mundo. Opera en los sectores de la logística marítima, aérea, por carretera y de contratos, con un claro enfoque en soluciones logísticas integradas.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left"/>
        <w:rPr>
          <w:rFonts w:ascii="Arial" w:cs="Arial" w:eastAsia="Arial" w:hAnsi="Arial"/>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993" w:top="1985" w:left="3686" w:right="1021" w:header="720" w:footer="27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7173"/>
      </w:tabs>
      <w:spacing w:after="0" w:before="0" w:line="260" w:lineRule="auto"/>
      <w:ind w:left="21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7173"/>
      </w:tabs>
      <w:spacing w:after="0" w:before="0" w:line="260" w:lineRule="auto"/>
      <w:ind w:left="21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1263650</wp:posOffset>
              </wp:positionV>
              <wp:extent cx="7560310" cy="9068435"/>
              <wp:effectExtent b="0" l="0" r="0" t="0"/>
              <wp:wrapNone/>
              <wp:docPr descr="Group 1" id="1073741831" name=""/>
              <a:graphic>
                <a:graphicData uri="http://schemas.microsoft.com/office/word/2010/wordprocessingGroup">
                  <wpg:wgp>
                    <wpg:cNvGrpSpPr/>
                    <wpg:grpSpPr>
                      <a:xfrm>
                        <a:off x="1565825" y="0"/>
                        <a:ext cx="7560310" cy="9068435"/>
                        <a:chOff x="1565825" y="0"/>
                        <a:chExt cx="7560350" cy="7560000"/>
                      </a:xfrm>
                    </wpg:grpSpPr>
                    <wpg:grpSp>
                      <wpg:cNvGrpSpPr/>
                      <wpg:grpSpPr>
                        <a:xfrm>
                          <a:off x="1565845" y="-1"/>
                          <a:ext cx="7560312" cy="7560002"/>
                          <a:chOff x="0" y="-1"/>
                          <a:chExt cx="7560311" cy="9068437"/>
                        </a:xfrm>
                      </wpg:grpSpPr>
                      <wps:wsp>
                        <wps:cNvSpPr/>
                        <wps:cNvPr id="3" name="Shape 3"/>
                        <wps:spPr>
                          <a:xfrm>
                            <a:off x="0" y="0"/>
                            <a:ext cx="7560300" cy="906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
                            <a:ext cx="7560311" cy="1"/>
                          </a:xfrm>
                          <a:prstGeom prst="straightConnector1">
                            <a:avLst/>
                          </a:prstGeom>
                          <a:noFill/>
                          <a:ln cap="flat" cmpd="sng" w="12700">
                            <a:solidFill>
                              <a:srgbClr val="002B55"/>
                            </a:solidFill>
                            <a:prstDash val="solid"/>
                            <a:round/>
                            <a:headEnd len="sm" w="sm" type="none"/>
                            <a:tailEnd len="sm" w="sm" type="none"/>
                          </a:ln>
                        </wps:spPr>
                        <wps:bodyPr anchorCtr="0" anchor="ctr" bIns="91425" lIns="91425" spcFirstLastPara="1" rIns="91425" wrap="square" tIns="91425">
                          <a:noAutofit/>
                        </wps:bodyPr>
                      </wps:wsp>
                      <wps:wsp>
                        <wps:cNvCnPr/>
                        <wps:spPr>
                          <a:xfrm>
                            <a:off x="0" y="387984"/>
                            <a:ext cx="7560311" cy="1"/>
                          </a:xfrm>
                          <a:prstGeom prst="straightConnector1">
                            <a:avLst/>
                          </a:prstGeom>
                          <a:noFill/>
                          <a:ln cap="flat" cmpd="sng" w="12700">
                            <a:solidFill>
                              <a:srgbClr val="002B55"/>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153284" y="0"/>
                            <a:ext cx="1" cy="9068436"/>
                          </a:xfrm>
                          <a:prstGeom prst="straightConnector1">
                            <a:avLst/>
                          </a:prstGeom>
                          <a:noFill/>
                          <a:ln cap="flat" cmpd="sng" w="12700">
                            <a:solidFill>
                              <a:srgbClr val="002B55"/>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1263650</wp:posOffset>
              </wp:positionV>
              <wp:extent cx="7560310" cy="9068435"/>
              <wp:effectExtent b="0" l="0" r="0" t="0"/>
              <wp:wrapNone/>
              <wp:docPr descr="Group 1" id="1073741831" name="image2.png"/>
              <a:graphic>
                <a:graphicData uri="http://schemas.openxmlformats.org/drawingml/2006/picture">
                  <pic:pic>
                    <pic:nvPicPr>
                      <pic:cNvPr descr="Group 1" id="0" name="image2.png"/>
                      <pic:cNvPicPr preferRelativeResize="0"/>
                    </pic:nvPicPr>
                    <pic:blipFill>
                      <a:blip r:embed="rId1"/>
                      <a:srcRect/>
                      <a:stretch>
                        <a:fillRect/>
                      </a:stretch>
                    </pic:blipFill>
                    <pic:spPr>
                      <a:xfrm>
                        <a:off x="0" y="0"/>
                        <a:ext cx="7560310" cy="9068435"/>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389573</wp:posOffset>
              </wp:positionH>
              <wp:positionV relativeFrom="page">
                <wp:posOffset>1016952</wp:posOffset>
              </wp:positionV>
              <wp:extent cx="1663065" cy="248921"/>
              <wp:effectExtent b="0" l="0" r="0" t="0"/>
              <wp:wrapNone/>
              <wp:docPr descr="Text Box 22" id="1073741832" name=""/>
              <a:graphic>
                <a:graphicData uri="http://schemas.microsoft.com/office/word/2010/wordprocessingShape">
                  <wps:wsp>
                    <wps:cNvSpPr/>
                    <wps:cNvPr id="7" name="Shape 7"/>
                    <wps:spPr>
                      <a:xfrm>
                        <a:off x="4519230" y="3660302"/>
                        <a:ext cx="1653540" cy="23939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30"/>
                              <w:vertAlign w:val="baseline"/>
                            </w:rPr>
                            <w:t xml:space="preserve">PRESS INFO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389573</wp:posOffset>
              </wp:positionH>
              <wp:positionV relativeFrom="page">
                <wp:posOffset>1016952</wp:posOffset>
              </wp:positionV>
              <wp:extent cx="1663065" cy="248921"/>
              <wp:effectExtent b="0" l="0" r="0" t="0"/>
              <wp:wrapNone/>
              <wp:docPr descr="Text Box 22" id="1073741832" name="image3.png"/>
              <a:graphic>
                <a:graphicData uri="http://schemas.openxmlformats.org/drawingml/2006/picture">
                  <pic:pic>
                    <pic:nvPicPr>
                      <pic:cNvPr descr="Text Box 22" id="0" name="image3.png"/>
                      <pic:cNvPicPr preferRelativeResize="0"/>
                    </pic:nvPicPr>
                    <pic:blipFill>
                      <a:blip r:embed="rId2"/>
                      <a:srcRect/>
                      <a:stretch>
                        <a:fillRect/>
                      </a:stretch>
                    </pic:blipFill>
                    <pic:spPr>
                      <a:xfrm>
                        <a:off x="0" y="0"/>
                        <a:ext cx="1663065" cy="248921"/>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4631690</wp:posOffset>
          </wp:positionH>
          <wp:positionV relativeFrom="page">
            <wp:posOffset>417194</wp:posOffset>
          </wp:positionV>
          <wp:extent cx="2326005" cy="467360"/>
          <wp:effectExtent b="0" l="0" r="0" t="0"/>
          <wp:wrapNone/>
          <wp:docPr descr="Picture 14" id="1073741833" name="image1.png"/>
          <a:graphic>
            <a:graphicData uri="http://schemas.openxmlformats.org/drawingml/2006/picture">
              <pic:pic>
                <pic:nvPicPr>
                  <pic:cNvPr descr="Picture 14" id="0" name="image1.png"/>
                  <pic:cNvPicPr preferRelativeResize="0"/>
                </pic:nvPicPr>
                <pic:blipFill>
                  <a:blip r:embed="rId3"/>
                  <a:srcRect b="0" l="0" r="0" t="0"/>
                  <a:stretch>
                    <a:fillRect/>
                  </a:stretch>
                </pic:blipFill>
                <pic:spPr>
                  <a:xfrm>
                    <a:off x="0" y="0"/>
                    <a:ext cx="2326005" cy="467360"/>
                  </a:xfrm>
                  <a:prstGeom prst="rect"/>
                  <a:ln/>
                </pic:spPr>
              </pic:pic>
            </a:graphicData>
          </a:graphic>
        </wp:anchor>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2160" w:hanging="360"/>
      </w:pPr>
      <w:rPr>
        <w:b w:val="1"/>
        <w:smallCaps w:val="0"/>
        <w:strike w:val="0"/>
        <w:shd w:fill="auto" w:val="clear"/>
        <w:vertAlign w:val="baseline"/>
      </w:rPr>
    </w:lvl>
    <w:lvl w:ilvl="3">
      <w:start w:val="1"/>
      <w:numFmt w:val="bullet"/>
      <w:lvlText w:val="●"/>
      <w:lvlJc w:val="left"/>
      <w:pPr>
        <w:ind w:left="2880" w:hanging="360"/>
      </w:pPr>
      <w:rPr>
        <w:b w:val="1"/>
        <w:smallCaps w:val="0"/>
        <w:strike w:val="0"/>
        <w:shd w:fill="auto" w:val="clear"/>
        <w:vertAlign w:val="baseline"/>
      </w:rPr>
    </w:lvl>
    <w:lvl w:ilvl="4">
      <w:start w:val="1"/>
      <w:numFmt w:val="bullet"/>
      <w:lvlText w:val="○"/>
      <w:lvlJc w:val="left"/>
      <w:pPr>
        <w:ind w:left="3600" w:hanging="360"/>
      </w:pPr>
      <w:rPr>
        <w:b w:val="1"/>
        <w:smallCaps w:val="0"/>
        <w:strike w:val="0"/>
        <w:shd w:fill="auto" w:val="clear"/>
        <w:vertAlign w:val="baseline"/>
      </w:rPr>
    </w:lvl>
    <w:lvl w:ilvl="5">
      <w:start w:val="1"/>
      <w:numFmt w:val="bullet"/>
      <w:lvlText w:val="■"/>
      <w:lvlJc w:val="left"/>
      <w:pPr>
        <w:ind w:left="4320" w:hanging="360"/>
      </w:pPr>
      <w:rPr>
        <w:b w:val="1"/>
        <w:smallCaps w:val="0"/>
        <w:strike w:val="0"/>
        <w:shd w:fill="auto" w:val="clear"/>
        <w:vertAlign w:val="baseline"/>
      </w:rPr>
    </w:lvl>
    <w:lvl w:ilvl="6">
      <w:start w:val="1"/>
      <w:numFmt w:val="bullet"/>
      <w:lvlText w:val="●"/>
      <w:lvlJc w:val="left"/>
      <w:pPr>
        <w:ind w:left="5040" w:hanging="360"/>
      </w:pPr>
      <w:rPr>
        <w:b w:val="1"/>
        <w:smallCaps w:val="0"/>
        <w:strike w:val="0"/>
        <w:shd w:fill="auto" w:val="clear"/>
        <w:vertAlign w:val="baseline"/>
      </w:rPr>
    </w:lvl>
    <w:lvl w:ilvl="7">
      <w:start w:val="1"/>
      <w:numFmt w:val="bullet"/>
      <w:lvlText w:val="○"/>
      <w:lvlJc w:val="left"/>
      <w:pPr>
        <w:ind w:left="5760" w:hanging="360"/>
      </w:pPr>
      <w:rPr>
        <w:b w:val="1"/>
        <w:smallCaps w:val="0"/>
        <w:strike w:val="0"/>
        <w:shd w:fill="auto" w:val="clear"/>
        <w:vertAlign w:val="baseline"/>
      </w:rPr>
    </w:lvl>
    <w:lvl w:ilvl="8">
      <w:start w:val="1"/>
      <w:numFmt w:val="bullet"/>
      <w:lvlText w:val="■"/>
      <w:lvlJc w:val="left"/>
      <w:pPr>
        <w:ind w:left="6480" w:hanging="360"/>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çalho e Rodapé">
    <w:name w:val="Cabeçalho e Rodapé"/>
    <w:next w:val="Cabeçalho e Rodapé"/>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footer">
    <w:name w:val="footer"/>
    <w:next w:val="footer"/>
    <w:pPr>
      <w:keepNext w:val="0"/>
      <w:keepLines w:val="0"/>
      <w:pageBreakBefore w:val="0"/>
      <w:widowControl w:val="1"/>
      <w:shd w:color="auto" w:fill="auto" w:val="clear"/>
      <w:tabs>
        <w:tab w:val="center" w:pos="4536"/>
        <w:tab w:val="right" w:pos="9072"/>
      </w:tabs>
      <w:suppressAutoHyphens w:val="0"/>
      <w:bidi w:val="0"/>
      <w:spacing w:after="0" w:before="0" w:line="260" w:lineRule="exact"/>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paragraph" w:styleId="Corpo">
    <w:name w:val="Corpo"/>
    <w:next w:val="Corpo"/>
    <w:pPr>
      <w:keepNext w:val="0"/>
      <w:keepLines w:val="0"/>
      <w:pageBreakBefore w:val="0"/>
      <w:widowControl w:val="1"/>
      <w:shd w:color="auto" w:fill="auto" w:val="clear"/>
      <w:suppressAutoHyphens w:val="0"/>
      <w:bidi w:val="0"/>
      <w:spacing w:after="0" w:before="0" w:line="260" w:lineRule="exact"/>
      <w:ind w:left="0" w:right="0" w:firstLine="0"/>
      <w:jc w:val="left"/>
      <w:outlineLvl w:val="9"/>
    </w:pPr>
    <w:rPr>
      <w:rFonts w:ascii="Arial" w:cs="Arial" w:eastAsia="Arial"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14:textOutline>
        <w14:noFill/>
      </w14:textOutline>
    </w:rPr>
  </w:style>
  <w:style w:type="paragraph" w:styleId="header">
    <w:name w:val="header"/>
    <w:next w:val="header"/>
    <w:pPr>
      <w:keepNext w:val="0"/>
      <w:keepLines w:val="0"/>
      <w:pageBreakBefore w:val="0"/>
      <w:widowControl w:val="1"/>
      <w:shd w:color="auto" w:fill="auto" w:val="clear"/>
      <w:tabs>
        <w:tab w:val="center" w:pos="4536"/>
        <w:tab w:val="right" w:pos="9072"/>
      </w:tabs>
      <w:suppressAutoHyphens w:val="0"/>
      <w:bidi w:val="0"/>
      <w:spacing w:after="0" w:before="0" w:line="260" w:lineRule="exact"/>
      <w:ind w:left="0" w:right="0" w:firstLine="0"/>
      <w:jc w:val="left"/>
      <w:outlineLvl w:val="9"/>
    </w:pPr>
    <w:rPr>
      <w:rFonts w:ascii="Arial" w:cs="Arial" w:eastAsia="Arial"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rPr>
  </w:style>
  <w:style w:type="numbering" w:styleId="Estilo Importado 1">
    <w:name w:val="Estilo Importado 1"/>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w5Ua1l8pwzkQ0uON4d4j0o+/Qg==">AMUW2mW7Uh/p795pA60A9fbfEOhfhaJC3ghnOoH14nkhq0K+yKzlnTRLAFrHawI7PZCyHgQPytvmAUMEBW1r/MW1v/w1jWVvIwRtaZDt5p+0l5Sm/YgCXcY=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